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Sinking</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Sinking is a 15</w:t>
      </w:r>
      <w:r>
        <w:rPr>
          <w:outline w:val="0"/>
          <w:color w:val="202528"/>
          <w:sz w:val="32"/>
          <w:szCs w:val="32"/>
          <w:rtl w:val="1"/>
          <w14:textFill>
            <w14:solidFill>
              <w14:srgbClr w14:val="212529"/>
            </w14:solidFill>
          </w14:textFill>
        </w:rPr>
        <w:t xml:space="preserve">’’ </w:t>
      </w:r>
      <w:r>
        <w:rPr>
          <w:outline w:val="0"/>
          <w:color w:val="202528"/>
          <w:sz w:val="32"/>
          <w:szCs w:val="32"/>
          <w:rtl w:val="0"/>
          <w:lang w:val="en-US"/>
          <w14:textFill>
            <w14:solidFill>
              <w14:srgbClr w14:val="212529"/>
            </w14:solidFill>
          </w14:textFill>
        </w:rPr>
        <w:t>tall exhibit that shows a stool sinking into an epoxy resin ocean that has dead fish, a floating water bottle, and a menacing shark fin. The stool is placed into the epoxy resin at an angle so it causes the user to slide off the stool.</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Sinking represents a dangerous future where global warming goes unanswered. It gives the user the opportunity to sit on the sinking stool and feel hopeless as they slide toward the shark circling them. The lesson I want people to learn is to take responsibility now before the damage becomes irreversible and threatens our future generations.</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